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776A92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C172D1">
        <w:rPr>
          <w:b/>
          <w:sz w:val="44"/>
        </w:rPr>
        <w:t>4 au 10</w:t>
      </w:r>
      <w:r w:rsidR="00DC6B43">
        <w:rPr>
          <w:b/>
          <w:sz w:val="44"/>
        </w:rPr>
        <w:t xml:space="preserve"> janvier</w:t>
      </w:r>
    </w:p>
    <w:p w:rsidR="00DC6B43" w:rsidRPr="00DC6B43" w:rsidRDefault="00C172D1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02</w:t>
      </w:r>
      <w:r w:rsidR="00776A92">
        <w:rPr>
          <w:b/>
          <w:sz w:val="44"/>
        </w:rPr>
        <w:t xml:space="preserve"> – 2010</w:t>
      </w:r>
    </w:p>
    <w:p w:rsidR="00DC6B43" w:rsidRDefault="00DC6B43" w:rsidP="00DC6B43">
      <w:pPr>
        <w:pStyle w:val="NoSpacing"/>
        <w:jc w:val="center"/>
        <w:rPr>
          <w:b/>
          <w:sz w:val="24"/>
          <w:u w:val="single"/>
        </w:rPr>
      </w:pPr>
    </w:p>
    <w:p w:rsidR="00885390" w:rsidRDefault="00826E08" w:rsidP="00DC6B43">
      <w:pPr>
        <w:pStyle w:val="NoSpacing"/>
        <w:jc w:val="center"/>
        <w:rPr>
          <w:b/>
          <w:sz w:val="24"/>
          <w:u w:val="single"/>
        </w:rPr>
      </w:pPr>
      <w:r w:rsidRPr="00826E08">
        <w:rPr>
          <w:noProof/>
          <w:sz w:val="24"/>
          <w:lang w:eastAsia="fr-FR"/>
        </w:rPr>
        <w:drawing>
          <wp:inline distT="0" distB="0" distL="0" distR="0">
            <wp:extent cx="4295775" cy="5953337"/>
            <wp:effectExtent l="19050" t="0" r="9525" b="0"/>
            <wp:docPr id="9" name="Picture 8" descr="une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e0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824" cy="595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390" w:rsidRDefault="00885390" w:rsidP="00DC6B43">
      <w:pPr>
        <w:pStyle w:val="NoSpacing"/>
        <w:jc w:val="center"/>
        <w:rPr>
          <w:b/>
          <w:sz w:val="24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776A92" w:rsidRDefault="00DC6B43" w:rsidP="00DC6B43">
      <w:pPr>
        <w:pStyle w:val="NoSpacing"/>
        <w:jc w:val="center"/>
        <w:rPr>
          <w:sz w:val="18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452ED7" w:rsidTr="00FF6000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52ED7" w:rsidRDefault="00C86A4D" w:rsidP="00FF600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52ED7" w:rsidRDefault="00452ED7" w:rsidP="00FF6000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52ED7" w:rsidRDefault="00452ED7" w:rsidP="00FF6000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52ED7" w:rsidRDefault="00452ED7" w:rsidP="00FF6000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52ED7" w:rsidRDefault="00452ED7" w:rsidP="00FF6000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52ED7" w:rsidRDefault="00452ED7" w:rsidP="00FF6000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52ED7" w:rsidRDefault="00452ED7" w:rsidP="00FF6000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452ED7" w:rsidRPr="00287384" w:rsidTr="00FF6000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87384"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Kingdom Hearts : Birth by Sleep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445 962</w:t>
            </w:r>
          </w:p>
        </w:tc>
      </w:tr>
      <w:tr w:rsidR="00452ED7" w:rsidRPr="00AE02EE" w:rsidTr="00FF6000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E02EE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158 994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2 867 486</w:t>
            </w:r>
          </w:p>
        </w:tc>
      </w:tr>
      <w:tr w:rsidR="00452ED7" w:rsidRPr="00AE02EE" w:rsidTr="00FF6000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E02E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93 912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2 596 281</w:t>
            </w:r>
          </w:p>
        </w:tc>
      </w:tr>
      <w:tr w:rsidR="00452ED7" w:rsidRPr="00AE02EE" w:rsidTr="00FF6000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E02EE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53 569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1 474 165</w:t>
            </w:r>
          </w:p>
        </w:tc>
      </w:tr>
      <w:tr w:rsidR="00452ED7" w:rsidRPr="00AE02EE" w:rsidTr="00FF6000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E02E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The Legend of Zelda : Spirit Tracks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48 518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466 317</w:t>
            </w:r>
          </w:p>
        </w:tc>
      </w:tr>
      <w:tr w:rsidR="00452ED7" w:rsidRPr="00287384" w:rsidTr="00FF6000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87384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Final Fantasy XIII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41 663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1 843 843</w:t>
            </w:r>
          </w:p>
        </w:tc>
      </w:tr>
      <w:tr w:rsidR="00452ED7" w:rsidRPr="00AE02EE" w:rsidTr="00FF6000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E02E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Pokémon Co.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37 283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3 579 517</w:t>
            </w:r>
          </w:p>
        </w:tc>
      </w:tr>
      <w:tr w:rsidR="00452ED7" w:rsidRPr="00AE02EE" w:rsidTr="00FF6000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E02E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36 634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1 012 578</w:t>
            </w:r>
          </w:p>
        </w:tc>
      </w:tr>
      <w:tr w:rsidR="00452ED7" w:rsidRPr="00AE02EE" w:rsidTr="00FF6000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E02E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32 738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1 668 605</w:t>
            </w:r>
          </w:p>
        </w:tc>
      </w:tr>
      <w:tr w:rsidR="00452ED7" w:rsidRPr="00287384" w:rsidTr="00FF6000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287384">
              <w:rPr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Phantasy Star Portable 2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26 775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532 775</w:t>
            </w:r>
          </w:p>
        </w:tc>
      </w:tr>
    </w:tbl>
    <w:p w:rsidR="005E3C66" w:rsidRPr="00776A92" w:rsidRDefault="005E3C66" w:rsidP="00DC6B43">
      <w:pPr>
        <w:pStyle w:val="NoSpacing"/>
        <w:rPr>
          <w:sz w:val="16"/>
          <w:szCs w:val="24"/>
          <w:lang w:val="en-US"/>
        </w:rPr>
      </w:pPr>
    </w:p>
    <w:p w:rsidR="0029552F" w:rsidRPr="00DC6B43" w:rsidRDefault="0042787D" w:rsidP="0029552F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Statistiques supplémentaires</w:t>
      </w:r>
    </w:p>
    <w:p w:rsidR="0029552F" w:rsidRPr="00826E08" w:rsidRDefault="0029552F" w:rsidP="0029552F">
      <w:pPr>
        <w:pStyle w:val="NoSpacing"/>
        <w:jc w:val="center"/>
        <w:rPr>
          <w:sz w:val="10"/>
        </w:rPr>
      </w:pPr>
    </w:p>
    <w:tbl>
      <w:tblPr>
        <w:tblStyle w:val="MediumShading1-Ac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0"/>
        <w:gridCol w:w="850"/>
        <w:gridCol w:w="1134"/>
        <w:gridCol w:w="1843"/>
        <w:gridCol w:w="1038"/>
      </w:tblGrid>
      <w:tr w:rsidR="00FA5917" w:rsidTr="00FA5917">
        <w:trPr>
          <w:cnfStyle w:val="100000000000"/>
          <w:jc w:val="center"/>
        </w:trPr>
        <w:tc>
          <w:tcPr>
            <w:cnfStyle w:val="001000000000"/>
            <w:tcW w:w="4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Csl.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Evo.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Stock</w:t>
            </w:r>
          </w:p>
        </w:tc>
        <w:tc>
          <w:tcPr>
            <w:tcW w:w="1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5917" w:rsidRPr="00EC1BE6" w:rsidRDefault="00FA5917" w:rsidP="0029552F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Stat.*</w:t>
            </w:r>
          </w:p>
        </w:tc>
      </w:tr>
      <w:tr w:rsidR="00452ED7" w:rsidRPr="0057270B" w:rsidTr="00452ED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452ED7" w:rsidRPr="00452ED7" w:rsidRDefault="00452ED7" w:rsidP="00FF6000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452ED7">
              <w:rPr>
                <w:b w:val="0"/>
                <w:sz w:val="24"/>
                <w:szCs w:val="24"/>
                <w:lang w:val="en-US"/>
              </w:rPr>
              <w:t>Kingdom Hearts : Birth by Sleep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452ED7" w:rsidRDefault="00452ED7" w:rsidP="0029552F">
            <w:pPr>
              <w:pStyle w:val="NoSpacing"/>
              <w:jc w:val="center"/>
              <w:cnfStyle w:val="000000100000"/>
              <w:rPr>
                <w:sz w:val="24"/>
              </w:rPr>
            </w:pPr>
            <w:r w:rsidRPr="00452ED7">
              <w:rPr>
                <w:sz w:val="24"/>
              </w:rPr>
              <w:t>--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452ED7" w:rsidRDefault="00466C10" w:rsidP="0029552F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585 000</w:t>
            </w:r>
          </w:p>
        </w:tc>
        <w:tc>
          <w:tcPr>
            <w:tcW w:w="1038" w:type="dxa"/>
            <w:tcBorders>
              <w:left w:val="none" w:sz="0" w:space="0" w:color="auto"/>
            </w:tcBorders>
          </w:tcPr>
          <w:p w:rsidR="00452ED7" w:rsidRPr="00452ED7" w:rsidRDefault="007C2C0C" w:rsidP="0029552F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76,2 %</w:t>
            </w:r>
          </w:p>
        </w:tc>
      </w:tr>
      <w:tr w:rsidR="00452ED7" w:rsidRPr="0057270B" w:rsidTr="00FA5917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AE02EE">
              <w:rPr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57270B" w:rsidRDefault="00877750" w:rsidP="00877750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>
              <w:rPr>
                <w:b/>
                <w:sz w:val="24"/>
              </w:rPr>
              <w:t>- 41</w:t>
            </w:r>
            <w:r w:rsidR="00452ED7"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452ED7" w:rsidRPr="0057270B" w:rsidRDefault="00452ED7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 w:rsidRPr="0057270B">
              <w:rPr>
                <w:b/>
                <w:sz w:val="24"/>
              </w:rPr>
              <w:t>--</w:t>
            </w:r>
          </w:p>
        </w:tc>
      </w:tr>
      <w:tr w:rsidR="00452ED7" w:rsidRPr="0057270B" w:rsidTr="00FA591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AE02EE">
              <w:rPr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57270B" w:rsidRDefault="00452ED7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>- 49 %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452ED7" w:rsidRPr="0057270B" w:rsidRDefault="00452ED7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 w:rsidRPr="0057270B">
              <w:rPr>
                <w:b/>
                <w:sz w:val="24"/>
              </w:rPr>
              <w:t>--</w:t>
            </w:r>
          </w:p>
        </w:tc>
      </w:tr>
      <w:tr w:rsidR="00452ED7" w:rsidRPr="0057270B" w:rsidTr="00FA5917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AE02EE">
              <w:rPr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452ED7" w:rsidRDefault="00877750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>
              <w:rPr>
                <w:b/>
                <w:sz w:val="24"/>
              </w:rPr>
              <w:t>- 49</w:t>
            </w:r>
            <w:r w:rsidR="00452ED7" w:rsidRPr="00452ED7"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452ED7" w:rsidRPr="00452ED7" w:rsidRDefault="00452ED7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 w:rsidRPr="00452ED7">
              <w:rPr>
                <w:b/>
                <w:sz w:val="24"/>
              </w:rPr>
              <w:t>--</w:t>
            </w:r>
          </w:p>
        </w:tc>
      </w:tr>
      <w:tr w:rsidR="00452ED7" w:rsidRPr="0057270B" w:rsidTr="00FA591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AE02EE">
              <w:rPr>
                <w:sz w:val="24"/>
                <w:szCs w:val="24"/>
                <w:lang w:val="en-US"/>
              </w:rPr>
              <w:t>The Legend of Zelda : Spirit Tracks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57270B" w:rsidRDefault="00877750" w:rsidP="00877750">
            <w:pPr>
              <w:pStyle w:val="NoSpacing"/>
              <w:jc w:val="center"/>
              <w:cnfStyle w:val="00000010000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- 62</w:t>
            </w:r>
            <w:r w:rsidR="00452ED7">
              <w:rPr>
                <w:b/>
                <w:sz w:val="24"/>
                <w:lang w:val="en-US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452ED7" w:rsidRPr="0057270B" w:rsidRDefault="00452ED7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 w:rsidRPr="0057270B">
              <w:rPr>
                <w:b/>
                <w:sz w:val="24"/>
              </w:rPr>
              <w:t>--</w:t>
            </w:r>
          </w:p>
        </w:tc>
      </w:tr>
      <w:tr w:rsidR="00452ED7" w:rsidRPr="0057270B" w:rsidTr="00FA5917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452ED7" w:rsidRPr="00452ED7" w:rsidRDefault="00452ED7" w:rsidP="00FF6000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452ED7">
              <w:rPr>
                <w:b w:val="0"/>
                <w:sz w:val="24"/>
                <w:szCs w:val="24"/>
                <w:lang w:val="en-US"/>
              </w:rPr>
              <w:t>Final Fantasy XIII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452ED7" w:rsidRDefault="00452ED7" w:rsidP="0029552F">
            <w:pPr>
              <w:pStyle w:val="NoSpacing"/>
              <w:jc w:val="center"/>
              <w:cnfStyle w:val="00000001000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77750">
              <w:rPr>
                <w:sz w:val="24"/>
              </w:rPr>
              <w:t>63</w:t>
            </w:r>
            <w:r w:rsidRPr="00452ED7">
              <w:rPr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452ED7" w:rsidRPr="00452ED7" w:rsidRDefault="00452ED7" w:rsidP="0029552F">
            <w:pPr>
              <w:pStyle w:val="NoSpacing"/>
              <w:jc w:val="center"/>
              <w:cnfStyle w:val="000000010000"/>
              <w:rPr>
                <w:sz w:val="24"/>
              </w:rPr>
            </w:pPr>
            <w:r w:rsidRPr="00452ED7">
              <w:rPr>
                <w:sz w:val="24"/>
              </w:rPr>
              <w:t>--</w:t>
            </w:r>
          </w:p>
        </w:tc>
      </w:tr>
      <w:tr w:rsidR="00452ED7" w:rsidRPr="0057270B" w:rsidTr="00FA591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AE02EE">
              <w:rPr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57270B" w:rsidRDefault="00452ED7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 w:rsidR="00877750">
              <w:rPr>
                <w:b/>
                <w:sz w:val="24"/>
              </w:rPr>
              <w:t>50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452ED7" w:rsidRPr="0057270B" w:rsidRDefault="00452ED7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 w:rsidRPr="0057270B">
              <w:rPr>
                <w:b/>
                <w:sz w:val="24"/>
              </w:rPr>
              <w:t>--</w:t>
            </w:r>
          </w:p>
        </w:tc>
      </w:tr>
      <w:tr w:rsidR="00452ED7" w:rsidRPr="0057270B" w:rsidTr="00FA5917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AE02EE">
              <w:rPr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57270B" w:rsidRDefault="00877750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>
              <w:rPr>
                <w:b/>
                <w:sz w:val="24"/>
              </w:rPr>
              <w:t>- 47</w:t>
            </w:r>
            <w:r w:rsidR="00452ED7"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452ED7" w:rsidRPr="0057270B" w:rsidRDefault="00452ED7" w:rsidP="0029552F">
            <w:pPr>
              <w:pStyle w:val="NoSpacing"/>
              <w:jc w:val="center"/>
              <w:cnfStyle w:val="000000010000"/>
              <w:rPr>
                <w:b/>
                <w:sz w:val="24"/>
              </w:rPr>
            </w:pPr>
            <w:r w:rsidRPr="0057270B">
              <w:rPr>
                <w:b/>
                <w:sz w:val="24"/>
              </w:rPr>
              <w:t>--</w:t>
            </w:r>
          </w:p>
        </w:tc>
      </w:tr>
      <w:tr w:rsidR="00452ED7" w:rsidRPr="0057270B" w:rsidTr="00FA5917">
        <w:trPr>
          <w:cnfStyle w:val="00000010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AE02EE">
              <w:rPr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AE02EE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E02EE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452ED7" w:rsidRDefault="00877750" w:rsidP="0029552F">
            <w:pPr>
              <w:pStyle w:val="NoSpacing"/>
              <w:jc w:val="center"/>
              <w:cnfStyle w:val="00000010000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- 52</w:t>
            </w:r>
            <w:r w:rsidR="00452ED7">
              <w:rPr>
                <w:b/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452ED7" w:rsidRPr="00452ED7" w:rsidRDefault="00452ED7" w:rsidP="0029552F">
            <w:pPr>
              <w:pStyle w:val="NoSpacing"/>
              <w:jc w:val="center"/>
              <w:cnfStyle w:val="000000100000"/>
              <w:rPr>
                <w:b/>
                <w:sz w:val="24"/>
              </w:rPr>
            </w:pPr>
            <w:r w:rsidRPr="00452ED7">
              <w:rPr>
                <w:b/>
                <w:sz w:val="24"/>
              </w:rPr>
              <w:t>--</w:t>
            </w:r>
          </w:p>
        </w:tc>
      </w:tr>
      <w:tr w:rsidR="00452ED7" w:rsidRPr="0057270B" w:rsidTr="00FA5917">
        <w:trPr>
          <w:cnfStyle w:val="000000010000"/>
          <w:jc w:val="center"/>
        </w:trPr>
        <w:tc>
          <w:tcPr>
            <w:cnfStyle w:val="001000000000"/>
            <w:tcW w:w="4890" w:type="dxa"/>
            <w:tcBorders>
              <w:right w:val="none" w:sz="0" w:space="0" w:color="auto"/>
            </w:tcBorders>
          </w:tcPr>
          <w:p w:rsidR="00452ED7" w:rsidRPr="00452ED7" w:rsidRDefault="00452ED7" w:rsidP="00FF6000">
            <w:pPr>
              <w:pStyle w:val="NoSpacing"/>
              <w:rPr>
                <w:b w:val="0"/>
                <w:sz w:val="24"/>
                <w:szCs w:val="24"/>
                <w:lang w:val="en-US"/>
              </w:rPr>
            </w:pPr>
            <w:r w:rsidRPr="00452ED7">
              <w:rPr>
                <w:b w:val="0"/>
                <w:sz w:val="24"/>
                <w:szCs w:val="24"/>
                <w:lang w:val="en-US"/>
              </w:rPr>
              <w:t>Phantasy Star Portable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87384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452ED7" w:rsidRDefault="00877750" w:rsidP="0029552F">
            <w:pPr>
              <w:pStyle w:val="NoSpacing"/>
              <w:jc w:val="center"/>
              <w:cnfStyle w:val="000000010000"/>
              <w:rPr>
                <w:sz w:val="24"/>
              </w:rPr>
            </w:pPr>
            <w:r>
              <w:rPr>
                <w:sz w:val="24"/>
              </w:rPr>
              <w:t>- 40</w:t>
            </w:r>
            <w:r w:rsidR="00452ED7" w:rsidRPr="00452ED7">
              <w:rPr>
                <w:sz w:val="24"/>
              </w:rPr>
              <w:t xml:space="preserve"> %</w:t>
            </w:r>
          </w:p>
        </w:tc>
        <w:tc>
          <w:tcPr>
            <w:tcW w:w="2881" w:type="dxa"/>
            <w:gridSpan w:val="2"/>
            <w:tcBorders>
              <w:left w:val="none" w:sz="0" w:space="0" w:color="auto"/>
            </w:tcBorders>
          </w:tcPr>
          <w:p w:rsidR="00452ED7" w:rsidRPr="00452ED7" w:rsidRDefault="00452ED7" w:rsidP="0029552F">
            <w:pPr>
              <w:pStyle w:val="NoSpacing"/>
              <w:jc w:val="center"/>
              <w:cnfStyle w:val="000000010000"/>
              <w:rPr>
                <w:sz w:val="24"/>
              </w:rPr>
            </w:pPr>
            <w:r w:rsidRPr="00452ED7">
              <w:rPr>
                <w:sz w:val="24"/>
              </w:rPr>
              <w:t>--</w:t>
            </w:r>
          </w:p>
        </w:tc>
      </w:tr>
    </w:tbl>
    <w:p w:rsidR="00885390" w:rsidRPr="0042787D" w:rsidRDefault="007C2C0C" w:rsidP="0042787D">
      <w:pPr>
        <w:pStyle w:val="NoSpacing"/>
        <w:jc w:val="center"/>
        <w:rPr>
          <w:sz w:val="20"/>
          <w:szCs w:val="24"/>
        </w:rPr>
      </w:pPr>
      <w:r w:rsidRPr="0042787D">
        <w:rPr>
          <w:sz w:val="20"/>
          <w:szCs w:val="24"/>
        </w:rPr>
        <w:t xml:space="preserve">(* Représente le pourcentage </w:t>
      </w:r>
      <w:r>
        <w:rPr>
          <w:sz w:val="20"/>
          <w:szCs w:val="24"/>
        </w:rPr>
        <w:t>du nombre d’exemplaires vendus par rapport au stock distribué</w:t>
      </w:r>
      <w:r w:rsidRPr="0042787D">
        <w:rPr>
          <w:sz w:val="20"/>
          <w:szCs w:val="24"/>
        </w:rPr>
        <w:t>)</w:t>
      </w:r>
    </w:p>
    <w:p w:rsidR="00826E08" w:rsidRPr="00826E08" w:rsidRDefault="00826E08" w:rsidP="00885390">
      <w:pPr>
        <w:pStyle w:val="NoSpacing"/>
        <w:jc w:val="center"/>
        <w:rPr>
          <w:sz w:val="10"/>
        </w:rPr>
      </w:pPr>
    </w:p>
    <w:p w:rsidR="00885390" w:rsidRPr="00DC6B43" w:rsidRDefault="00885390" w:rsidP="00885390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Hardware</w:t>
      </w:r>
    </w:p>
    <w:p w:rsidR="00885390" w:rsidRPr="00826E08" w:rsidRDefault="00885390" w:rsidP="00DC6B43">
      <w:pPr>
        <w:pStyle w:val="NoSpacing"/>
        <w:rPr>
          <w:sz w:val="10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C86A4D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7F30B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</w:t>
            </w:r>
            <w:r w:rsidR="0062330B">
              <w:rPr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452ED7" w:rsidRPr="00206032" w:rsidTr="0088539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52ED7" w:rsidRPr="00925233" w:rsidRDefault="00452ED7" w:rsidP="008D5E9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925233" w:rsidRDefault="00452ED7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E56CD3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+ 9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E56CD3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148 523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E56CD3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136 814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E56CD3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285 337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52ED7" w:rsidRPr="00E56CD3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13 828 134</w:t>
            </w:r>
          </w:p>
        </w:tc>
      </w:tr>
      <w:tr w:rsidR="00452ED7" w:rsidRPr="00885390" w:rsidTr="00885390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52ED7" w:rsidRPr="00925233" w:rsidRDefault="00452ED7" w:rsidP="008D5E9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925233" w:rsidRDefault="00452ED7" w:rsidP="008D5E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925233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925233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42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925233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105 466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925233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180 492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925233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285 958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52ED7" w:rsidRPr="00925233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29 384 750</w:t>
            </w:r>
          </w:p>
        </w:tc>
      </w:tr>
      <w:tr w:rsidR="00452ED7" w:rsidRPr="00206032" w:rsidTr="0088539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52ED7" w:rsidRPr="00E56CD3" w:rsidRDefault="00452ED7" w:rsidP="008D5E9D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E56CD3" w:rsidRDefault="00452ED7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925233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92523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53</w:t>
            </w:r>
            <w:r w:rsidRPr="00925233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925233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76 772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925233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163 855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925233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240 627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52ED7" w:rsidRPr="00925233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9 681 972</w:t>
            </w:r>
          </w:p>
        </w:tc>
      </w:tr>
      <w:tr w:rsidR="00452ED7" w:rsidRPr="00885390" w:rsidTr="00885390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52ED7" w:rsidRPr="00885390" w:rsidRDefault="00452ED7" w:rsidP="008D5E9D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885390" w:rsidRDefault="00452ED7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885390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- 46 %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885390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61 591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885390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114 368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885390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175 959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52ED7" w:rsidRPr="00885390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4 562 964</w:t>
            </w:r>
          </w:p>
        </w:tc>
      </w:tr>
      <w:tr w:rsidR="00452ED7" w:rsidRPr="00885390" w:rsidTr="0088539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52ED7" w:rsidRPr="00885390" w:rsidRDefault="00452ED7" w:rsidP="008D5E9D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885390" w:rsidRDefault="00452ED7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885390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- 21 %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885390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5 461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885390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6 878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885390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12 339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52ED7" w:rsidRPr="00885390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1 215 135</w:t>
            </w:r>
          </w:p>
        </w:tc>
      </w:tr>
      <w:tr w:rsidR="00452ED7" w:rsidRPr="00885390" w:rsidTr="00885390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52ED7" w:rsidRPr="00885390" w:rsidRDefault="00452ED7" w:rsidP="008D5E9D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885390" w:rsidRDefault="00452ED7" w:rsidP="008D5E9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885390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- 23 %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885390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3 092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885390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4 023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885390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7 115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52ED7" w:rsidRPr="00885390" w:rsidRDefault="00452ED7" w:rsidP="00FF6000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21,7 M</w:t>
            </w:r>
          </w:p>
        </w:tc>
      </w:tr>
    </w:tbl>
    <w:p w:rsidR="00885390" w:rsidRPr="00826E08" w:rsidRDefault="00885390" w:rsidP="00DC6B43">
      <w:pPr>
        <w:pStyle w:val="NoSpacing"/>
        <w:rPr>
          <w:sz w:val="14"/>
          <w:szCs w:val="24"/>
          <w:lang w:val="en-US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261E3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C86A4D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7F30B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</w:t>
            </w:r>
            <w:r w:rsidR="0062330B">
              <w:rPr>
                <w:sz w:val="24"/>
                <w:szCs w:val="24"/>
              </w:rPr>
              <w:t>10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452ED7" w:rsidRPr="00776A92" w:rsidTr="008D5E9D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52ED7" w:rsidRPr="00776A92" w:rsidRDefault="00452ED7" w:rsidP="008D5E9D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776A92" w:rsidRDefault="00452ED7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 w:rsidRPr="00776A92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776A92" w:rsidRDefault="00452ED7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+ 10 %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776A92" w:rsidRDefault="00452ED7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145 682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776A92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132 911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776A92" w:rsidRDefault="00452ED7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278 593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52ED7" w:rsidRPr="00776A92" w:rsidRDefault="00452ED7" w:rsidP="008D5E9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13 749 538</w:t>
            </w:r>
          </w:p>
        </w:tc>
      </w:tr>
      <w:tr w:rsidR="00452ED7" w:rsidRPr="00206032" w:rsidTr="008261E3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52ED7" w:rsidRPr="00206032" w:rsidRDefault="00452ED7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06032" w:rsidRDefault="00452ED7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06032">
              <w:rPr>
                <w:b/>
                <w:sz w:val="24"/>
                <w:szCs w:val="24"/>
              </w:rPr>
              <w:t>Nintendo DSi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06032" w:rsidRDefault="00452ED7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- 46</w:t>
            </w:r>
            <w:r w:rsidRPr="00206032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06032" w:rsidRDefault="00452ED7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50 178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06032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92 461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06032" w:rsidRDefault="00452ED7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142 639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52ED7" w:rsidRPr="00206032" w:rsidRDefault="00452ED7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4 389 124</w:t>
            </w:r>
          </w:p>
        </w:tc>
      </w:tr>
      <w:tr w:rsidR="00452ED7" w:rsidRPr="00206032" w:rsidTr="008D5E9D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52ED7" w:rsidRPr="00206032" w:rsidRDefault="00452ED7" w:rsidP="008D5E9D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06032" w:rsidRDefault="00452ED7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Nintendo DSi XL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06032" w:rsidRDefault="00452ED7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- 36 %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06032" w:rsidRDefault="00452ED7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45 221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06032" w:rsidRDefault="00452ED7" w:rsidP="00FF600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70 643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06032" w:rsidRDefault="00452ED7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115 864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52ED7" w:rsidRPr="00206032" w:rsidRDefault="00452ED7" w:rsidP="008D5E9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552 128</w:t>
            </w:r>
          </w:p>
        </w:tc>
      </w:tr>
      <w:tr w:rsidR="00452ED7" w:rsidRPr="00206032" w:rsidTr="008261E3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52ED7" w:rsidRPr="00206032" w:rsidRDefault="00452ED7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06032" w:rsidRDefault="00452ED7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206032">
              <w:rPr>
                <w:b/>
                <w:sz w:val="24"/>
                <w:szCs w:val="24"/>
              </w:rPr>
              <w:t>Nintendo DS Lite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06032" w:rsidRDefault="00452ED7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- 42</w:t>
            </w:r>
            <w:r w:rsidRPr="00206032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06032" w:rsidRDefault="00452ED7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10 067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06032" w:rsidRDefault="00452ED7" w:rsidP="00FF6000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17 388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206032" w:rsidRDefault="00452ED7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27 455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52ED7" w:rsidRPr="00206032" w:rsidRDefault="00452ED7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17 858 023</w:t>
            </w:r>
          </w:p>
        </w:tc>
      </w:tr>
      <w:tr w:rsidR="00452ED7" w:rsidRPr="00776A92" w:rsidTr="00776A92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52ED7" w:rsidRPr="00776A92" w:rsidRDefault="00452ED7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776A92" w:rsidRDefault="00452E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 Go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776A92" w:rsidRDefault="00452E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- 27 %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776A92" w:rsidRDefault="00452E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2 841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776A92" w:rsidRDefault="00452ED7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3 903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52ED7" w:rsidRPr="00776A92" w:rsidRDefault="00452E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6 744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52ED7" w:rsidRPr="00776A92" w:rsidRDefault="00452ED7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78 396</w:t>
            </w:r>
          </w:p>
        </w:tc>
      </w:tr>
    </w:tbl>
    <w:p w:rsidR="008E1E98" w:rsidRPr="00826E08" w:rsidRDefault="008E1E98" w:rsidP="00DC6B43">
      <w:pPr>
        <w:pStyle w:val="NoSpacing"/>
        <w:rPr>
          <w:sz w:val="14"/>
          <w:szCs w:val="24"/>
          <w:lang w:val="en-US"/>
        </w:rPr>
      </w:pPr>
    </w:p>
    <w:p w:rsidR="007347C6" w:rsidRDefault="00EF47D0" w:rsidP="007347C6">
      <w:pPr>
        <w:pStyle w:val="NoSpacing"/>
        <w:jc w:val="center"/>
        <w:rPr>
          <w:sz w:val="24"/>
          <w:szCs w:val="24"/>
          <w:lang w:val="en-US"/>
        </w:rPr>
      </w:pPr>
      <w:r w:rsidRPr="00EF47D0">
        <w:rPr>
          <w:noProof/>
          <w:sz w:val="24"/>
          <w:szCs w:val="24"/>
          <w:lang w:eastAsia="fr-FR"/>
        </w:rPr>
        <w:drawing>
          <wp:inline distT="0" distB="0" distL="0" distR="0">
            <wp:extent cx="4905375" cy="3333750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26E08" w:rsidRPr="00826E08" w:rsidRDefault="00826E08" w:rsidP="00C907AB">
      <w:pPr>
        <w:pStyle w:val="NoSpacing"/>
        <w:jc w:val="center"/>
        <w:rPr>
          <w:sz w:val="10"/>
        </w:rPr>
      </w:pPr>
    </w:p>
    <w:p w:rsidR="00C907AB" w:rsidRDefault="00C907AB" w:rsidP="00C907AB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Ventes totales de jeux</w:t>
      </w:r>
    </w:p>
    <w:p w:rsidR="00C907AB" w:rsidRPr="00826E08" w:rsidRDefault="00C907AB" w:rsidP="00C907AB">
      <w:pPr>
        <w:pStyle w:val="NoSpacing"/>
        <w:jc w:val="center"/>
        <w:rPr>
          <w:sz w:val="10"/>
        </w:rPr>
      </w:pPr>
    </w:p>
    <w:tbl>
      <w:tblPr>
        <w:tblStyle w:val="MediumShading1-Ac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2268"/>
        <w:gridCol w:w="1418"/>
        <w:gridCol w:w="2126"/>
        <w:gridCol w:w="1360"/>
      </w:tblGrid>
      <w:tr w:rsidR="0037583B" w:rsidTr="0037583B">
        <w:trPr>
          <w:cnfStyle w:val="100000000000"/>
          <w:jc w:val="center"/>
        </w:trPr>
        <w:tc>
          <w:tcPr>
            <w:cnfStyle w:val="001000000000"/>
            <w:tcW w:w="12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rPr>
                <w:sz w:val="24"/>
              </w:rPr>
            </w:pPr>
            <w:r>
              <w:rPr>
                <w:sz w:val="24"/>
              </w:rPr>
              <w:t>Semaine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Sem. Préc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Evo.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62330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Total 2010</w:t>
            </w:r>
          </w:p>
        </w:tc>
        <w:tc>
          <w:tcPr>
            <w:tcW w:w="1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7583B" w:rsidRDefault="0037583B" w:rsidP="00776A92">
            <w:pPr>
              <w:pStyle w:val="NoSpacing"/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Evo.</w:t>
            </w:r>
          </w:p>
        </w:tc>
      </w:tr>
      <w:tr w:rsidR="0037583B" w:rsidTr="0037583B">
        <w:trPr>
          <w:cnfStyle w:val="000000100000"/>
          <w:jc w:val="center"/>
        </w:trPr>
        <w:tc>
          <w:tcPr>
            <w:cnfStyle w:val="001000000000"/>
            <w:tcW w:w="1242" w:type="dxa"/>
            <w:tcBorders>
              <w:right w:val="none" w:sz="0" w:space="0" w:color="auto"/>
            </w:tcBorders>
            <w:shd w:val="clear" w:color="auto" w:fill="F2F2F2" w:themeFill="background1" w:themeFillShade="F2"/>
          </w:tcPr>
          <w:p w:rsidR="0037583B" w:rsidRPr="00C907AB" w:rsidRDefault="0037583B" w:rsidP="00776A92">
            <w:pPr>
              <w:pStyle w:val="NoSpacing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  <w:r w:rsidR="008C63AD">
              <w:rPr>
                <w:b w:val="0"/>
                <w:sz w:val="24"/>
              </w:rPr>
              <w:t>2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7583B" w:rsidRDefault="008C63AD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1 766 699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7583B" w:rsidRDefault="008C63AD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2 423 932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7583B" w:rsidRDefault="008C63AD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- 27</w:t>
            </w:r>
            <w:r w:rsidR="006A6BB0">
              <w:rPr>
                <w:sz w:val="24"/>
              </w:rPr>
              <w:t xml:space="preserve"> %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37583B" w:rsidRDefault="001B198E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4 190 631</w:t>
            </w:r>
          </w:p>
        </w:tc>
        <w:tc>
          <w:tcPr>
            <w:tcW w:w="1360" w:type="dxa"/>
            <w:tcBorders>
              <w:left w:val="none" w:sz="0" w:space="0" w:color="auto"/>
            </w:tcBorders>
            <w:shd w:val="clear" w:color="auto" w:fill="F2F2F2" w:themeFill="background1" w:themeFillShade="F2"/>
          </w:tcPr>
          <w:p w:rsidR="0037583B" w:rsidRDefault="00484156" w:rsidP="00776A92">
            <w:pPr>
              <w:pStyle w:val="NoSpacing"/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+ 4,6</w:t>
            </w:r>
            <w:r w:rsidR="007C2C0C">
              <w:rPr>
                <w:sz w:val="24"/>
              </w:rPr>
              <w:t xml:space="preserve"> %</w:t>
            </w:r>
          </w:p>
        </w:tc>
      </w:tr>
    </w:tbl>
    <w:p w:rsidR="008E1E98" w:rsidRPr="00DC6B43" w:rsidRDefault="008E1E98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Top Constructeurs</w:t>
      </w:r>
    </w:p>
    <w:p w:rsidR="008E1E98" w:rsidRPr="00776A92" w:rsidRDefault="008E1E98" w:rsidP="008E1E98">
      <w:pPr>
        <w:pStyle w:val="NoSpacing"/>
        <w:rPr>
          <w:sz w:val="18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895"/>
        <w:gridCol w:w="1134"/>
        <w:gridCol w:w="1843"/>
        <w:gridCol w:w="1059"/>
      </w:tblGrid>
      <w:tr w:rsidR="008E1E98" w:rsidTr="008E1E98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C86A4D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7F30B8" w:rsidP="008E1E98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Société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8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PDM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</w:t>
            </w:r>
            <w:r w:rsidR="0062330B">
              <w:rPr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E1E98" w:rsidRDefault="008E1E98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PDM </w:t>
            </w:r>
            <w:r w:rsidR="007F30B8">
              <w:rPr>
                <w:sz w:val="24"/>
                <w:szCs w:val="24"/>
              </w:rPr>
              <w:t>10</w:t>
            </w:r>
          </w:p>
        </w:tc>
      </w:tr>
      <w:tr w:rsidR="001D6D6D" w:rsidRPr="008E1E98" w:rsidTr="00FF6000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1D6D6D" w:rsidRPr="008E1E98" w:rsidRDefault="001D6D6D" w:rsidP="00FF6000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1D6D6D" w:rsidRPr="008E1E98" w:rsidRDefault="001D6D6D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D6D6D" w:rsidRPr="008E1E98" w:rsidRDefault="001D6D6D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- 16 %</w:t>
            </w: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</w:tcPr>
          <w:p w:rsidR="001D6D6D" w:rsidRPr="008E1E98" w:rsidRDefault="001D6D6D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213 206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1D6D6D" w:rsidRPr="008E1E98" w:rsidRDefault="001D6D6D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53,2 %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1D6D6D" w:rsidRPr="008E1E98" w:rsidRDefault="001D6D6D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468 411</w:t>
            </w:r>
          </w:p>
        </w:tc>
        <w:tc>
          <w:tcPr>
            <w:tcW w:w="1059" w:type="dxa"/>
            <w:tcBorders>
              <w:left w:val="none" w:sz="0" w:space="0" w:color="auto"/>
            </w:tcBorders>
          </w:tcPr>
          <w:p w:rsidR="001D6D6D" w:rsidRPr="008E1E98" w:rsidRDefault="001D6D6D" w:rsidP="00FF6000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46,5 %</w:t>
            </w:r>
          </w:p>
        </w:tc>
      </w:tr>
      <w:tr w:rsidR="008E1E98" w:rsidRPr="008E1E98" w:rsidTr="008E1E98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E1E98" w:rsidRPr="008E1E98" w:rsidRDefault="001D6D6D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1E98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C63AD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- 47</w:t>
            </w:r>
            <w:r w:rsidR="008E1E98" w:rsidRPr="008E1E98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C63AD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182 238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C63AD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45,5</w:t>
            </w:r>
            <w:r w:rsidR="008E1E98" w:rsidRPr="008E1E98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C63AD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526 585</w:t>
            </w:r>
          </w:p>
        </w:tc>
        <w:tc>
          <w:tcPr>
            <w:tcW w:w="1059" w:type="dxa"/>
            <w:tcBorders>
              <w:left w:val="none" w:sz="0" w:space="0" w:color="auto"/>
            </w:tcBorders>
          </w:tcPr>
          <w:p w:rsidR="008E1E98" w:rsidRPr="008E1E98" w:rsidRDefault="008C63AD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52,3</w:t>
            </w:r>
            <w:r w:rsidR="008E1E98" w:rsidRPr="008E1E98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8E1E98" w:rsidRPr="008E1E98" w:rsidTr="008E1E98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E1E9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Microsoft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C63A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- 21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C63A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5 461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C63A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C63A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12 339</w:t>
            </w:r>
          </w:p>
        </w:tc>
        <w:tc>
          <w:tcPr>
            <w:tcW w:w="1059" w:type="dxa"/>
            <w:tcBorders>
              <w:left w:val="none" w:sz="0" w:space="0" w:color="auto"/>
            </w:tcBorders>
          </w:tcPr>
          <w:p w:rsidR="008E1E98" w:rsidRPr="008E1E98" w:rsidRDefault="008C63AD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  <w:r w:rsidR="008E1E98">
              <w:rPr>
                <w:sz w:val="24"/>
                <w:szCs w:val="24"/>
              </w:rPr>
              <w:t xml:space="preserve"> %</w:t>
            </w:r>
          </w:p>
        </w:tc>
      </w:tr>
      <w:tr w:rsidR="008E1E98" w:rsidRPr="008E1E98" w:rsidTr="008E1E98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8E1E98">
              <w:rPr>
                <w:sz w:val="24"/>
                <w:szCs w:val="24"/>
              </w:rPr>
              <w:t>/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1E98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C63AD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- 34</w:t>
            </w:r>
            <w:r w:rsidR="008E1E98" w:rsidRPr="008E1E98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95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C63AD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400 905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1E98">
              <w:rPr>
                <w:b/>
                <w:sz w:val="24"/>
                <w:szCs w:val="24"/>
              </w:rPr>
              <w:t>100 %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:rsidR="008E1E98" w:rsidRPr="008E1E98" w:rsidRDefault="008C63AD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1 007 335</w:t>
            </w:r>
          </w:p>
        </w:tc>
        <w:tc>
          <w:tcPr>
            <w:tcW w:w="1059" w:type="dxa"/>
            <w:tcBorders>
              <w:left w:val="none" w:sz="0" w:space="0" w:color="auto"/>
            </w:tcBorders>
          </w:tcPr>
          <w:p w:rsidR="008E1E98" w:rsidRPr="008E1E98" w:rsidRDefault="008E1E98" w:rsidP="008261E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8E1E98">
              <w:rPr>
                <w:b/>
                <w:sz w:val="24"/>
                <w:szCs w:val="24"/>
              </w:rPr>
              <w:t>100 %</w:t>
            </w:r>
          </w:p>
        </w:tc>
      </w:tr>
    </w:tbl>
    <w:p w:rsidR="007347C6" w:rsidRDefault="007347C6" w:rsidP="007347C6">
      <w:pPr>
        <w:pStyle w:val="NoSpacing"/>
        <w:jc w:val="center"/>
        <w:rPr>
          <w:sz w:val="24"/>
          <w:szCs w:val="24"/>
          <w:lang w:val="en-US"/>
        </w:rPr>
      </w:pPr>
    </w:p>
    <w:p w:rsidR="008E1E98" w:rsidRPr="00DC6B43" w:rsidRDefault="008E1E98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50 Software</w:t>
      </w:r>
    </w:p>
    <w:p w:rsidR="008E1E98" w:rsidRPr="00826E08" w:rsidRDefault="008E1E98" w:rsidP="008E1E98">
      <w:pPr>
        <w:pStyle w:val="NoSpacing"/>
        <w:rPr>
          <w:sz w:val="18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8261E3" w:rsidTr="008261E3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C86A4D" w:rsidP="008261E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261E3" w:rsidRDefault="008261E3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387B59" w:rsidRDefault="00FC5F16" w:rsidP="0057626B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Taiko no Tatsujin Wii : Dodon to 2 Daime !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A94B1A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A94B1A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A94B1A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7E60D9" w:rsidRDefault="00FC5F16" w:rsidP="0057626B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613C7F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 R.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7E60D9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7E60D9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7E60D9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cnfStyle w:val="00000001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Momotarô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Dentetsu</w:t>
            </w:r>
            <w:proofErr w:type="spellEnd"/>
            <w:r>
              <w:rPr>
                <w:sz w:val="24"/>
                <w:szCs w:val="24"/>
              </w:rPr>
              <w:t xml:space="preserve">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9B6D23" w:rsidRDefault="00FC5F16" w:rsidP="0057626B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4C361F" w:rsidRDefault="00FC5F16" w:rsidP="0057626B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: Modern Warfare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4C361F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4C361F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4C361F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4C361F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613C7F" w:rsidRDefault="00FC5F16" w:rsidP="0057626B">
            <w:pPr>
              <w:pStyle w:val="NoSpacing"/>
              <w:cnfStyle w:val="000000100000"/>
              <w:rPr>
                <w:sz w:val="24"/>
                <w:szCs w:val="24"/>
              </w:rPr>
            </w:pPr>
            <w:r w:rsidRPr="00613C7F">
              <w:rPr>
                <w:sz w:val="24"/>
                <w:szCs w:val="24"/>
              </w:rPr>
              <w:t>Professeur Layton et la Fl</w:t>
            </w:r>
            <w:r>
              <w:rPr>
                <w:sz w:val="24"/>
                <w:szCs w:val="24"/>
              </w:rPr>
              <w:t>ûte du Démon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E1374C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E1374C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E1374C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7E3499" w:rsidRDefault="00FC5F16" w:rsidP="0057626B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7E3499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7E3499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7E3499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190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161A95" w:rsidRDefault="00FC5F16" w:rsidP="0057626B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Poképark Wii : Pikachu no Daibôken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D50D7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D50D7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D50D7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E62EAC" w:rsidRDefault="00FC5F16" w:rsidP="0057626B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Vs. Gundam Next Plus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E62EAC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E62EAC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733638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F5865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F5865" w:rsidRDefault="00FC5F16" w:rsidP="0057626B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Penguin no Mondai Spe. : Pen1 Grandprix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F5865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F5865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BF5865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F5865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C5C74" w:rsidRDefault="00FC5F16" w:rsidP="0057626B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C5C74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C5C74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BC5C74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F5865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161A95" w:rsidRDefault="00FC5F16" w:rsidP="0057626B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Samurai Warriors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3F628A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3F628A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3F628A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9A7BAF" w:rsidRDefault="00FC5F16" w:rsidP="0057626B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Tamagotchi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no </w:t>
            </w:r>
            <w:proofErr w:type="spellStart"/>
            <w:r>
              <w:rPr>
                <w:sz w:val="24"/>
                <w:szCs w:val="24"/>
                <w:lang w:val="en-US"/>
              </w:rPr>
              <w:t>Narikiri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Channel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9A7BAF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9A7BAF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CC3AF8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6439A8" w:rsidRDefault="00FC5F16" w:rsidP="0057626B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6439A8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6439A8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6439A8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B500AE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C90384" w:rsidRDefault="00FC5F16" w:rsidP="0057626B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271FB7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271FB7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271FB7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E62EAC" w:rsidRDefault="00FC5F16" w:rsidP="0057626B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Mario Kart DS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733638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733638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733638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213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733638" w:rsidRDefault="00FC5F16" w:rsidP="0057626B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Power Pro-kun Pocket 12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733638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733638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733638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9A7BAF" w:rsidRDefault="00FC5F16" w:rsidP="0057626B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Naruto </w:t>
            </w:r>
            <w:proofErr w:type="spellStart"/>
            <w:r>
              <w:rPr>
                <w:sz w:val="24"/>
                <w:szCs w:val="24"/>
                <w:lang w:val="en-US"/>
              </w:rPr>
              <w:t>Shippûden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: </w:t>
            </w:r>
            <w:proofErr w:type="spellStart"/>
            <w:r>
              <w:rPr>
                <w:sz w:val="24"/>
                <w:szCs w:val="24"/>
                <w:lang w:val="en-US"/>
              </w:rPr>
              <w:t>Narutimate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Accel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9A7BAF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9A7BAF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9A7BAF" w:rsidRDefault="00FC5F16" w:rsidP="0057626B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9A7BAF" w:rsidRDefault="00FC5F16" w:rsidP="0057626B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Tales of Graces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9A7BAF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9A7BAF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9A7BAF" w:rsidRDefault="00FC5F16" w:rsidP="0057626B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Evolution Soccer 2010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Dorabase 2 : </w:t>
            </w:r>
            <w:proofErr w:type="spellStart"/>
            <w:r>
              <w:rPr>
                <w:sz w:val="24"/>
                <w:szCs w:val="24"/>
              </w:rPr>
              <w:t>Nettô</w:t>
            </w:r>
            <w:proofErr w:type="spellEnd"/>
            <w:r>
              <w:rPr>
                <w:sz w:val="24"/>
                <w:szCs w:val="24"/>
              </w:rPr>
              <w:t xml:space="preserve"> Ultra Stadium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FC5F16" w:rsidRDefault="00FC5F16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FC5F16">
              <w:rPr>
                <w:sz w:val="24"/>
                <w:szCs w:val="24"/>
                <w:lang w:val="en-US"/>
              </w:rPr>
              <w:t>Metal Fight Beyblade : Cyber Pegasis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Super Smash Bros. Brawl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</w:t>
            </w:r>
          </w:p>
        </w:tc>
      </w:tr>
      <w:tr w:rsidR="00FC5F16" w:rsidRPr="00FC5F16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CB16B5" w:rsidRDefault="00FC5F16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Animal Crossing : Let’s go to the City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CB16B5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CB16B5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CB16B5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Queen’s Blade : Spiral Chaos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Assassin’s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Creed</w:t>
            </w:r>
            <w:proofErr w:type="spellEnd"/>
            <w:r>
              <w:rPr>
                <w:sz w:val="24"/>
                <w:szCs w:val="24"/>
              </w:rPr>
              <w:t xml:space="preserve"> 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Ubisoft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FC5F16" w:rsidRDefault="00FC5F16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 w:rsidRPr="00FC5F16">
              <w:rPr>
                <w:sz w:val="24"/>
                <w:szCs w:val="24"/>
                <w:lang w:val="en-US"/>
              </w:rPr>
              <w:t>Call of Duty 4 : Modern Warfare –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&amp; Sonic aux J.O. d’Hiver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C5F16" w:rsidRPr="00CB16B5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CB16B5" w:rsidRDefault="00FC5F16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Love Plus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CB16B5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CB16B5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CB16B5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 Play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Yakuza 3 – The Best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C439BB" w:rsidRDefault="00FC5F16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Assassin’s Creed Bloodlines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Ubisoft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C5F16" w:rsidRPr="00CB16B5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CB16B5" w:rsidRDefault="00FC5F16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3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CB16B5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CB16B5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CB16B5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Mechamote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Iinchô</w:t>
            </w:r>
            <w:proofErr w:type="spellEnd"/>
            <w:r>
              <w:rPr>
                <w:sz w:val="24"/>
                <w:szCs w:val="24"/>
              </w:rPr>
              <w:t xml:space="preserve"> : MM </w:t>
            </w:r>
            <w:proofErr w:type="spellStart"/>
            <w:r>
              <w:rPr>
                <w:sz w:val="24"/>
                <w:szCs w:val="24"/>
              </w:rPr>
              <w:t>Town</w:t>
            </w:r>
            <w:proofErr w:type="spellEnd"/>
            <w:r>
              <w:rPr>
                <w:sz w:val="24"/>
                <w:szCs w:val="24"/>
              </w:rPr>
              <w:t xml:space="preserve"> de Miracle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Karaoke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Joysound</w:t>
            </w:r>
            <w:proofErr w:type="spellEnd"/>
            <w:r>
              <w:rPr>
                <w:sz w:val="24"/>
                <w:szCs w:val="24"/>
              </w:rPr>
              <w:t xml:space="preserve"> Wii DX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Hudson Soft.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455227" w:rsidRDefault="00FC5F16" w:rsidP="008261E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FC5F16" w:rsidRPr="00A8030E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A8030E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A8030E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A8030E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A8030E" w:rsidRDefault="00FC5F16" w:rsidP="008261E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Puyo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Puyo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A8030E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A8030E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A8030E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</w:tr>
      <w:tr w:rsidR="00FC5F16" w:rsidRPr="008261E3" w:rsidTr="008261E3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 Turismo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C5F16" w:rsidRPr="008261E3" w:rsidTr="008261E3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cnfStyle w:val="00000001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Tokimeki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Memorial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FC5F16" w:rsidRPr="008261E3" w:rsidRDefault="00FC5F16" w:rsidP="008261E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1A52A6" w:rsidRDefault="001A52A6">
      <w:pPr>
        <w:rPr>
          <w:sz w:val="24"/>
          <w:szCs w:val="24"/>
          <w:lang w:val="en-US"/>
        </w:rPr>
      </w:pPr>
    </w:p>
    <w:p w:rsidR="001A52A6" w:rsidRPr="00DC6B43" w:rsidRDefault="001A52A6" w:rsidP="001A52A6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Graphiques de la semaine</w:t>
      </w:r>
    </w:p>
    <w:p w:rsidR="001A52A6" w:rsidRDefault="001A52A6" w:rsidP="001A52A6">
      <w:pPr>
        <w:pStyle w:val="NoSpacing"/>
        <w:rPr>
          <w:sz w:val="24"/>
          <w:szCs w:val="24"/>
          <w:lang w:val="en-US"/>
        </w:rPr>
      </w:pPr>
    </w:p>
    <w:p w:rsidR="001A52A6" w:rsidRDefault="00A1129E" w:rsidP="007347C6">
      <w:pPr>
        <w:pStyle w:val="NoSpacing"/>
        <w:jc w:val="center"/>
        <w:rPr>
          <w:sz w:val="24"/>
          <w:szCs w:val="24"/>
          <w:lang w:val="en-US"/>
        </w:rPr>
      </w:pPr>
      <w:r w:rsidRPr="00A1129E">
        <w:rPr>
          <w:noProof/>
          <w:sz w:val="24"/>
          <w:szCs w:val="24"/>
          <w:lang w:eastAsia="fr-FR"/>
        </w:rPr>
        <w:drawing>
          <wp:inline distT="0" distB="0" distL="0" distR="0">
            <wp:extent cx="4572000" cy="274320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A52A6" w:rsidRDefault="001A52A6" w:rsidP="007347C6">
      <w:pPr>
        <w:pStyle w:val="NoSpacing"/>
        <w:jc w:val="center"/>
        <w:rPr>
          <w:sz w:val="24"/>
          <w:szCs w:val="24"/>
          <w:lang w:val="en-US"/>
        </w:rPr>
      </w:pPr>
    </w:p>
    <w:p w:rsidR="00A1129E" w:rsidRDefault="00A1129E" w:rsidP="007347C6">
      <w:pPr>
        <w:pStyle w:val="NoSpacing"/>
        <w:jc w:val="center"/>
        <w:rPr>
          <w:sz w:val="24"/>
          <w:szCs w:val="24"/>
          <w:lang w:val="en-US"/>
        </w:rPr>
      </w:pPr>
    </w:p>
    <w:p w:rsidR="00A1129E" w:rsidRDefault="00A1129E" w:rsidP="007347C6">
      <w:pPr>
        <w:pStyle w:val="NoSpacing"/>
        <w:jc w:val="center"/>
        <w:rPr>
          <w:sz w:val="24"/>
          <w:szCs w:val="24"/>
          <w:lang w:val="en-US"/>
        </w:rPr>
      </w:pPr>
    </w:p>
    <w:p w:rsidR="001A52A6" w:rsidRDefault="00A1129E" w:rsidP="007347C6">
      <w:pPr>
        <w:pStyle w:val="NoSpacing"/>
        <w:jc w:val="center"/>
        <w:rPr>
          <w:sz w:val="24"/>
          <w:szCs w:val="24"/>
          <w:lang w:val="en-US"/>
        </w:rPr>
      </w:pPr>
      <w:r w:rsidRPr="00A1129E">
        <w:rPr>
          <w:noProof/>
          <w:sz w:val="24"/>
          <w:szCs w:val="24"/>
          <w:lang w:eastAsia="fr-FR"/>
        </w:rPr>
        <w:drawing>
          <wp:inline distT="0" distB="0" distL="0" distR="0">
            <wp:extent cx="4572000" cy="2743200"/>
            <wp:effectExtent l="19050" t="0" r="19050" b="0"/>
            <wp:docPr id="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1B36" w:rsidRDefault="00BB1B36" w:rsidP="007347C6">
      <w:pPr>
        <w:pStyle w:val="NoSpacing"/>
        <w:jc w:val="center"/>
        <w:rPr>
          <w:sz w:val="24"/>
          <w:szCs w:val="24"/>
          <w:lang w:val="en-US"/>
        </w:rPr>
      </w:pPr>
    </w:p>
    <w:p w:rsidR="0042787D" w:rsidRPr="00366EAF" w:rsidRDefault="0042787D" w:rsidP="00BB1B36">
      <w:pPr>
        <w:pStyle w:val="NoSpacing"/>
        <w:jc w:val="center"/>
        <w:rPr>
          <w:sz w:val="24"/>
          <w:szCs w:val="24"/>
          <w:lang w:val="en-US"/>
        </w:rPr>
      </w:pPr>
    </w:p>
    <w:sectPr w:rsidR="0042787D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6941"/>
    <w:rsid w:val="000147E9"/>
    <w:rsid w:val="00022894"/>
    <w:rsid w:val="0003061C"/>
    <w:rsid w:val="00032326"/>
    <w:rsid w:val="00047F89"/>
    <w:rsid w:val="00051627"/>
    <w:rsid w:val="00060C1E"/>
    <w:rsid w:val="00070637"/>
    <w:rsid w:val="00072137"/>
    <w:rsid w:val="00072F4B"/>
    <w:rsid w:val="00085297"/>
    <w:rsid w:val="000A1DE4"/>
    <w:rsid w:val="000C3D79"/>
    <w:rsid w:val="000D1009"/>
    <w:rsid w:val="000D17E5"/>
    <w:rsid w:val="000D7F98"/>
    <w:rsid w:val="000E1714"/>
    <w:rsid w:val="000E7140"/>
    <w:rsid w:val="00115670"/>
    <w:rsid w:val="00122CE6"/>
    <w:rsid w:val="001430C5"/>
    <w:rsid w:val="00147288"/>
    <w:rsid w:val="00147A31"/>
    <w:rsid w:val="00152102"/>
    <w:rsid w:val="00171B9A"/>
    <w:rsid w:val="001915C4"/>
    <w:rsid w:val="00194835"/>
    <w:rsid w:val="001A163B"/>
    <w:rsid w:val="001A52A6"/>
    <w:rsid w:val="001B141D"/>
    <w:rsid w:val="001B198E"/>
    <w:rsid w:val="001B30C9"/>
    <w:rsid w:val="001C60D1"/>
    <w:rsid w:val="001D6D6D"/>
    <w:rsid w:val="001E2C79"/>
    <w:rsid w:val="001F1815"/>
    <w:rsid w:val="0020351D"/>
    <w:rsid w:val="00206032"/>
    <w:rsid w:val="002071D3"/>
    <w:rsid w:val="0021100A"/>
    <w:rsid w:val="002143C6"/>
    <w:rsid w:val="002318C0"/>
    <w:rsid w:val="002359DC"/>
    <w:rsid w:val="0024316D"/>
    <w:rsid w:val="002435A0"/>
    <w:rsid w:val="00254B47"/>
    <w:rsid w:val="002763D7"/>
    <w:rsid w:val="002852DD"/>
    <w:rsid w:val="00290DDC"/>
    <w:rsid w:val="0029552F"/>
    <w:rsid w:val="002A339F"/>
    <w:rsid w:val="002A4361"/>
    <w:rsid w:val="002B11D3"/>
    <w:rsid w:val="002C6C66"/>
    <w:rsid w:val="002E0B3D"/>
    <w:rsid w:val="002E42BA"/>
    <w:rsid w:val="002F59F6"/>
    <w:rsid w:val="003013D8"/>
    <w:rsid w:val="00313284"/>
    <w:rsid w:val="00324DFF"/>
    <w:rsid w:val="003313CC"/>
    <w:rsid w:val="00340846"/>
    <w:rsid w:val="00357899"/>
    <w:rsid w:val="00366EAF"/>
    <w:rsid w:val="0037583B"/>
    <w:rsid w:val="003A26C7"/>
    <w:rsid w:val="003A4FF3"/>
    <w:rsid w:val="003B50F2"/>
    <w:rsid w:val="003B686A"/>
    <w:rsid w:val="003C1A2D"/>
    <w:rsid w:val="003C56C7"/>
    <w:rsid w:val="003C7568"/>
    <w:rsid w:val="003D45E2"/>
    <w:rsid w:val="003D5FCB"/>
    <w:rsid w:val="00401F49"/>
    <w:rsid w:val="004073AB"/>
    <w:rsid w:val="00421A16"/>
    <w:rsid w:val="0042787D"/>
    <w:rsid w:val="00431CCD"/>
    <w:rsid w:val="00432C39"/>
    <w:rsid w:val="00452ED7"/>
    <w:rsid w:val="004535D0"/>
    <w:rsid w:val="00455227"/>
    <w:rsid w:val="004633C0"/>
    <w:rsid w:val="00466C10"/>
    <w:rsid w:val="004772C2"/>
    <w:rsid w:val="004831CC"/>
    <w:rsid w:val="00483E5A"/>
    <w:rsid w:val="00484156"/>
    <w:rsid w:val="00486AC5"/>
    <w:rsid w:val="00487933"/>
    <w:rsid w:val="00490E7B"/>
    <w:rsid w:val="004A2119"/>
    <w:rsid w:val="004A4192"/>
    <w:rsid w:val="004A7980"/>
    <w:rsid w:val="004B0D52"/>
    <w:rsid w:val="004B598B"/>
    <w:rsid w:val="004C2477"/>
    <w:rsid w:val="004C7DEC"/>
    <w:rsid w:val="004D73F3"/>
    <w:rsid w:val="00503F0F"/>
    <w:rsid w:val="00515575"/>
    <w:rsid w:val="0051737D"/>
    <w:rsid w:val="00526524"/>
    <w:rsid w:val="005360E5"/>
    <w:rsid w:val="0055102C"/>
    <w:rsid w:val="005529A0"/>
    <w:rsid w:val="0055446B"/>
    <w:rsid w:val="0057270B"/>
    <w:rsid w:val="0058001B"/>
    <w:rsid w:val="00582F50"/>
    <w:rsid w:val="00583F71"/>
    <w:rsid w:val="00586F4A"/>
    <w:rsid w:val="00597B35"/>
    <w:rsid w:val="005A5616"/>
    <w:rsid w:val="005A6290"/>
    <w:rsid w:val="005A6852"/>
    <w:rsid w:val="005C4A8F"/>
    <w:rsid w:val="005C7B35"/>
    <w:rsid w:val="005D49CD"/>
    <w:rsid w:val="005D4A76"/>
    <w:rsid w:val="005E3C66"/>
    <w:rsid w:val="00622B24"/>
    <w:rsid w:val="0062307B"/>
    <w:rsid w:val="0062330B"/>
    <w:rsid w:val="00653384"/>
    <w:rsid w:val="00667720"/>
    <w:rsid w:val="006724F6"/>
    <w:rsid w:val="00672A1C"/>
    <w:rsid w:val="006809CD"/>
    <w:rsid w:val="006927C2"/>
    <w:rsid w:val="00692DB7"/>
    <w:rsid w:val="006A100D"/>
    <w:rsid w:val="006A6BB0"/>
    <w:rsid w:val="006E66BB"/>
    <w:rsid w:val="00700AFD"/>
    <w:rsid w:val="00700D55"/>
    <w:rsid w:val="0071125B"/>
    <w:rsid w:val="00723F0D"/>
    <w:rsid w:val="00723FC5"/>
    <w:rsid w:val="00732504"/>
    <w:rsid w:val="007347C6"/>
    <w:rsid w:val="00743F50"/>
    <w:rsid w:val="00750237"/>
    <w:rsid w:val="007513A4"/>
    <w:rsid w:val="00773253"/>
    <w:rsid w:val="00775931"/>
    <w:rsid w:val="00776A92"/>
    <w:rsid w:val="00783184"/>
    <w:rsid w:val="00784EF7"/>
    <w:rsid w:val="00793291"/>
    <w:rsid w:val="007A0F88"/>
    <w:rsid w:val="007A1F99"/>
    <w:rsid w:val="007B0906"/>
    <w:rsid w:val="007C2C0C"/>
    <w:rsid w:val="007E2C16"/>
    <w:rsid w:val="007E32A6"/>
    <w:rsid w:val="007F30B8"/>
    <w:rsid w:val="00805060"/>
    <w:rsid w:val="00823010"/>
    <w:rsid w:val="008261E3"/>
    <w:rsid w:val="00826E08"/>
    <w:rsid w:val="00827814"/>
    <w:rsid w:val="00841219"/>
    <w:rsid w:val="00857FB1"/>
    <w:rsid w:val="00877750"/>
    <w:rsid w:val="00885390"/>
    <w:rsid w:val="008908A1"/>
    <w:rsid w:val="008960F1"/>
    <w:rsid w:val="008B7468"/>
    <w:rsid w:val="008C63AD"/>
    <w:rsid w:val="008D5B42"/>
    <w:rsid w:val="008D5E9D"/>
    <w:rsid w:val="008D651B"/>
    <w:rsid w:val="008E1E98"/>
    <w:rsid w:val="008E61CC"/>
    <w:rsid w:val="009063E0"/>
    <w:rsid w:val="00911C77"/>
    <w:rsid w:val="009267B2"/>
    <w:rsid w:val="00933A56"/>
    <w:rsid w:val="00942148"/>
    <w:rsid w:val="00991FE1"/>
    <w:rsid w:val="009B6A6C"/>
    <w:rsid w:val="009B7281"/>
    <w:rsid w:val="009B75E2"/>
    <w:rsid w:val="009D5E2A"/>
    <w:rsid w:val="00A071A7"/>
    <w:rsid w:val="00A1129E"/>
    <w:rsid w:val="00A146A0"/>
    <w:rsid w:val="00A158F7"/>
    <w:rsid w:val="00A16A75"/>
    <w:rsid w:val="00A22F8C"/>
    <w:rsid w:val="00A24A70"/>
    <w:rsid w:val="00A25D45"/>
    <w:rsid w:val="00A25ED0"/>
    <w:rsid w:val="00A2675B"/>
    <w:rsid w:val="00A416EE"/>
    <w:rsid w:val="00A476B9"/>
    <w:rsid w:val="00A47A47"/>
    <w:rsid w:val="00A559C8"/>
    <w:rsid w:val="00A61E40"/>
    <w:rsid w:val="00A8030E"/>
    <w:rsid w:val="00A83028"/>
    <w:rsid w:val="00A842B0"/>
    <w:rsid w:val="00A93D44"/>
    <w:rsid w:val="00AA64D4"/>
    <w:rsid w:val="00AB6607"/>
    <w:rsid w:val="00AC1454"/>
    <w:rsid w:val="00AD6289"/>
    <w:rsid w:val="00AE3AD8"/>
    <w:rsid w:val="00AF0603"/>
    <w:rsid w:val="00AF1770"/>
    <w:rsid w:val="00AF4AE0"/>
    <w:rsid w:val="00AF7A47"/>
    <w:rsid w:val="00B06B3A"/>
    <w:rsid w:val="00B136DD"/>
    <w:rsid w:val="00B246B1"/>
    <w:rsid w:val="00B46159"/>
    <w:rsid w:val="00B50E5B"/>
    <w:rsid w:val="00B63D8A"/>
    <w:rsid w:val="00B8417A"/>
    <w:rsid w:val="00B910A4"/>
    <w:rsid w:val="00B91248"/>
    <w:rsid w:val="00BA2048"/>
    <w:rsid w:val="00BA37A4"/>
    <w:rsid w:val="00BA383A"/>
    <w:rsid w:val="00BA443C"/>
    <w:rsid w:val="00BA7F0A"/>
    <w:rsid w:val="00BB1B36"/>
    <w:rsid w:val="00BB58F0"/>
    <w:rsid w:val="00BB7968"/>
    <w:rsid w:val="00BC15D3"/>
    <w:rsid w:val="00BC23F3"/>
    <w:rsid w:val="00BD0CB5"/>
    <w:rsid w:val="00BD1C1E"/>
    <w:rsid w:val="00BD374F"/>
    <w:rsid w:val="00BD4124"/>
    <w:rsid w:val="00C172D1"/>
    <w:rsid w:val="00C3065F"/>
    <w:rsid w:val="00C34238"/>
    <w:rsid w:val="00C359D5"/>
    <w:rsid w:val="00C40E04"/>
    <w:rsid w:val="00C439BB"/>
    <w:rsid w:val="00C4559F"/>
    <w:rsid w:val="00C5225C"/>
    <w:rsid w:val="00C548DF"/>
    <w:rsid w:val="00C671ED"/>
    <w:rsid w:val="00C73337"/>
    <w:rsid w:val="00C86516"/>
    <w:rsid w:val="00C86A4D"/>
    <w:rsid w:val="00C907A2"/>
    <w:rsid w:val="00C907AB"/>
    <w:rsid w:val="00CA68AE"/>
    <w:rsid w:val="00CB16B5"/>
    <w:rsid w:val="00CC3BA5"/>
    <w:rsid w:val="00CC734A"/>
    <w:rsid w:val="00CD30E5"/>
    <w:rsid w:val="00CD4B63"/>
    <w:rsid w:val="00CE2D96"/>
    <w:rsid w:val="00CE30AF"/>
    <w:rsid w:val="00CF2B8F"/>
    <w:rsid w:val="00D04F47"/>
    <w:rsid w:val="00D2416C"/>
    <w:rsid w:val="00D2758F"/>
    <w:rsid w:val="00D33775"/>
    <w:rsid w:val="00D34B32"/>
    <w:rsid w:val="00D63A4B"/>
    <w:rsid w:val="00D66C7F"/>
    <w:rsid w:val="00D85E7C"/>
    <w:rsid w:val="00D93783"/>
    <w:rsid w:val="00DA3EE3"/>
    <w:rsid w:val="00DA7DB7"/>
    <w:rsid w:val="00DB0489"/>
    <w:rsid w:val="00DB3E59"/>
    <w:rsid w:val="00DB69F6"/>
    <w:rsid w:val="00DC26F4"/>
    <w:rsid w:val="00DC6B43"/>
    <w:rsid w:val="00DE19E4"/>
    <w:rsid w:val="00DF37F4"/>
    <w:rsid w:val="00E066F5"/>
    <w:rsid w:val="00E1759F"/>
    <w:rsid w:val="00E2505E"/>
    <w:rsid w:val="00E45579"/>
    <w:rsid w:val="00E605A9"/>
    <w:rsid w:val="00E65D34"/>
    <w:rsid w:val="00E66116"/>
    <w:rsid w:val="00E67EB9"/>
    <w:rsid w:val="00E93BCB"/>
    <w:rsid w:val="00E94D99"/>
    <w:rsid w:val="00E964CA"/>
    <w:rsid w:val="00EB04AA"/>
    <w:rsid w:val="00EB44DA"/>
    <w:rsid w:val="00EB4DDA"/>
    <w:rsid w:val="00EC1BE6"/>
    <w:rsid w:val="00ED4AF3"/>
    <w:rsid w:val="00ED7A40"/>
    <w:rsid w:val="00EE37D9"/>
    <w:rsid w:val="00EF181E"/>
    <w:rsid w:val="00EF47D0"/>
    <w:rsid w:val="00F006AD"/>
    <w:rsid w:val="00F01249"/>
    <w:rsid w:val="00F24304"/>
    <w:rsid w:val="00F32B8F"/>
    <w:rsid w:val="00F50E68"/>
    <w:rsid w:val="00F6310C"/>
    <w:rsid w:val="00F975E1"/>
    <w:rsid w:val="00FA278C"/>
    <w:rsid w:val="00FA5917"/>
    <w:rsid w:val="00FA75AA"/>
    <w:rsid w:val="00FB2202"/>
    <w:rsid w:val="00FC5F16"/>
    <w:rsid w:val="00FC79E4"/>
    <w:rsid w:val="00FD2EEC"/>
    <w:rsid w:val="00FE41EE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car\Desktop\Perso\Charts\Fichiers%20Excel\Ventes%202010%20Jap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car\Desktop\Perso\Charts\Fichiers%20Excel\Ventes%202010%20Japo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scar\Desktop\Perso\Charts\Fichiers%20Excel\Ventes%202010%20Jap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/>
              <a:t>Part de marché des consoles</a:t>
            </a:r>
          </a:p>
          <a:p>
            <a:pPr>
              <a:defRPr/>
            </a:pPr>
            <a:r>
              <a:rPr lang="fr-FR" sz="1100"/>
              <a:t>(Semaine</a:t>
            </a:r>
            <a:r>
              <a:rPr lang="fr-FR" sz="1100" baseline="0"/>
              <a:t> 2 - 2010)</a:t>
            </a:r>
            <a:endParaRPr lang="fr-FR" sz="1100"/>
          </a:p>
        </c:rich>
      </c:tx>
    </c:title>
    <c:plotArea>
      <c:layout/>
      <c:pie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FFC000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cat>
            <c:strRef>
              <c:f>'Secteurs semaines'!$B$25:$B$30</c:f>
              <c:strCache>
                <c:ptCount val="6"/>
                <c:pt idx="0">
                  <c:v>Nintendo DS</c:v>
                </c:pt>
                <c:pt idx="1">
                  <c:v>Wii</c:v>
                </c:pt>
                <c:pt idx="2">
                  <c:v>PSP</c:v>
                </c:pt>
                <c:pt idx="3">
                  <c:v>PlayStation 3</c:v>
                </c:pt>
                <c:pt idx="4">
                  <c:v>PlayStation 2</c:v>
                </c:pt>
                <c:pt idx="5">
                  <c:v>Xbox 360</c:v>
                </c:pt>
              </c:strCache>
            </c:strRef>
          </c:cat>
          <c:val>
            <c:numRef>
              <c:f>'Secteurs semaines'!$C$25:$C$30</c:f>
              <c:numCache>
                <c:formatCode>#,##0</c:formatCode>
                <c:ptCount val="6"/>
                <c:pt idx="0">
                  <c:v>105466</c:v>
                </c:pt>
                <c:pt idx="1">
                  <c:v>76772</c:v>
                </c:pt>
                <c:pt idx="2">
                  <c:v>148523</c:v>
                </c:pt>
                <c:pt idx="3">
                  <c:v>61591</c:v>
                </c:pt>
                <c:pt idx="4">
                  <c:v>3092</c:v>
                </c:pt>
                <c:pt idx="5">
                  <c:v>5461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/>
              <a:t>Comparaison des </a:t>
            </a:r>
            <a:r>
              <a:rPr lang="fr-FR" i="1"/>
              <a:t>Kingdom Hearts</a:t>
            </a:r>
            <a:endParaRPr lang="fr-FR"/>
          </a:p>
        </c:rich>
      </c:tx>
    </c:title>
    <c:plotArea>
      <c:layout>
        <c:manualLayout>
          <c:layoutTarget val="inner"/>
          <c:xMode val="edge"/>
          <c:yMode val="edge"/>
          <c:x val="0.16746062992125985"/>
          <c:y val="0.16702573636628754"/>
          <c:w val="0.80259623797025359"/>
          <c:h val="0.70574803149606535"/>
        </c:manualLayout>
      </c:layout>
      <c:barChart>
        <c:barDir val="col"/>
        <c:grouping val="stacked"/>
        <c:ser>
          <c:idx val="0"/>
          <c:order val="0"/>
          <c:tx>
            <c:strRef>
              <c:f>'Graphique SW'!$B$3</c:f>
              <c:strCache>
                <c:ptCount val="1"/>
                <c:pt idx="0">
                  <c:v>Première semaine</c:v>
                </c:pt>
              </c:strCache>
            </c:strRef>
          </c:tx>
          <c:cat>
            <c:strRef>
              <c:f>'Graphique SW'!$C$2:$H$2</c:f>
              <c:strCache>
                <c:ptCount val="6"/>
                <c:pt idx="0">
                  <c:v>KH1</c:v>
                </c:pt>
                <c:pt idx="1">
                  <c:v>KH2</c:v>
                </c:pt>
                <c:pt idx="2">
                  <c:v>KH BbS</c:v>
                </c:pt>
                <c:pt idx="3">
                  <c:v>KH 358/2</c:v>
                </c:pt>
                <c:pt idx="4">
                  <c:v>Crisis Core</c:v>
                </c:pt>
                <c:pt idx="5">
                  <c:v>Dissidia</c:v>
                </c:pt>
              </c:strCache>
            </c:strRef>
          </c:cat>
          <c:val>
            <c:numRef>
              <c:f>'Graphique SW'!$C$3:$H$3</c:f>
              <c:numCache>
                <c:formatCode>#,##0</c:formatCode>
                <c:ptCount val="6"/>
                <c:pt idx="0">
                  <c:v>411492</c:v>
                </c:pt>
                <c:pt idx="1">
                  <c:v>727591</c:v>
                </c:pt>
                <c:pt idx="2">
                  <c:v>445962</c:v>
                </c:pt>
                <c:pt idx="3">
                  <c:v>295205</c:v>
                </c:pt>
                <c:pt idx="4">
                  <c:v>486659</c:v>
                </c:pt>
                <c:pt idx="5">
                  <c:v>489126</c:v>
                </c:pt>
              </c:numCache>
            </c:numRef>
          </c:val>
        </c:ser>
        <c:ser>
          <c:idx val="1"/>
          <c:order val="1"/>
          <c:tx>
            <c:strRef>
              <c:f>'Graphique SW'!$B$4</c:f>
              <c:strCache>
                <c:ptCount val="1"/>
                <c:pt idx="0">
                  <c:v>Autres semaines</c:v>
                </c:pt>
              </c:strCache>
            </c:strRef>
          </c:tx>
          <c:cat>
            <c:strRef>
              <c:f>'Graphique SW'!$C$2:$H$2</c:f>
              <c:strCache>
                <c:ptCount val="6"/>
                <c:pt idx="0">
                  <c:v>KH1</c:v>
                </c:pt>
                <c:pt idx="1">
                  <c:v>KH2</c:v>
                </c:pt>
                <c:pt idx="2">
                  <c:v>KH BbS</c:v>
                </c:pt>
                <c:pt idx="3">
                  <c:v>KH 358/2</c:v>
                </c:pt>
                <c:pt idx="4">
                  <c:v>Crisis Core</c:v>
                </c:pt>
                <c:pt idx="5">
                  <c:v>Dissidia</c:v>
                </c:pt>
              </c:strCache>
            </c:strRef>
          </c:cat>
          <c:val>
            <c:numRef>
              <c:f>'Graphique SW'!$C$4:$H$4</c:f>
              <c:numCache>
                <c:formatCode>#,##0</c:formatCode>
                <c:ptCount val="6"/>
                <c:pt idx="0">
                  <c:v>546181</c:v>
                </c:pt>
                <c:pt idx="1">
                  <c:v>401605</c:v>
                </c:pt>
                <c:pt idx="3">
                  <c:v>227055</c:v>
                </c:pt>
                <c:pt idx="4">
                  <c:v>323166</c:v>
                </c:pt>
                <c:pt idx="5">
                  <c:v>413272</c:v>
                </c:pt>
              </c:numCache>
            </c:numRef>
          </c:val>
        </c:ser>
        <c:overlap val="100"/>
        <c:axId val="210288000"/>
        <c:axId val="214062592"/>
      </c:barChart>
      <c:catAx>
        <c:axId val="210288000"/>
        <c:scaling>
          <c:orientation val="minMax"/>
        </c:scaling>
        <c:axPos val="b"/>
        <c:tickLblPos val="nextTo"/>
        <c:crossAx val="214062592"/>
        <c:crosses val="autoZero"/>
        <c:auto val="1"/>
        <c:lblAlgn val="ctr"/>
        <c:lblOffset val="100"/>
      </c:catAx>
      <c:valAx>
        <c:axId val="214062592"/>
        <c:scaling>
          <c:orientation val="minMax"/>
        </c:scaling>
        <c:axPos val="l"/>
        <c:majorGridlines/>
        <c:numFmt formatCode="#,##0" sourceLinked="1"/>
        <c:tickLblPos val="nextTo"/>
        <c:crossAx val="210288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5894575678040526"/>
          <c:y val="0.19168780985710121"/>
          <c:w val="0.25216535433070864"/>
          <c:h val="0.16743438320210074"/>
        </c:manualLayout>
      </c:layout>
      <c:spPr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solidFill>
            <a:srgbClr val="0070C0"/>
          </a:solidFill>
        </a:ln>
      </c:sp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fr-FR" sz="1450"/>
              <a:t>Ventes de consoles en début</a:t>
            </a:r>
            <a:r>
              <a:rPr lang="fr-FR" sz="1450" baseline="0"/>
              <a:t> d'année </a:t>
            </a:r>
            <a:r>
              <a:rPr lang="fr-FR" sz="1450"/>
              <a:t>au Japon</a:t>
            </a:r>
          </a:p>
          <a:p>
            <a:pPr>
              <a:defRPr/>
            </a:pPr>
            <a:r>
              <a:rPr lang="fr-FR" sz="800"/>
              <a:t>(semaines</a:t>
            </a:r>
            <a:r>
              <a:rPr lang="fr-FR" sz="800" baseline="0"/>
              <a:t> 1 &amp; 2)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0.16746062992125985"/>
          <c:y val="0.17640055409740901"/>
          <c:w val="0.81784623797025369"/>
          <c:h val="0.69542432195975457"/>
        </c:manualLayout>
      </c:layout>
      <c:barChart>
        <c:barDir val="col"/>
        <c:grouping val="clustered"/>
        <c:ser>
          <c:idx val="0"/>
          <c:order val="0"/>
          <c:tx>
            <c:strRef>
              <c:f>'Graphiques HW'!$J$3</c:f>
              <c:strCache>
                <c:ptCount val="1"/>
                <c:pt idx="0">
                  <c:v>2008</c:v>
                </c:pt>
              </c:strCache>
            </c:strRef>
          </c:tx>
          <c:cat>
            <c:strRef>
              <c:f>'Graphiques HW'!$K$2:$N$2</c:f>
              <c:strCache>
                <c:ptCount val="4"/>
                <c:pt idx="0">
                  <c:v>Nintendo DS</c:v>
                </c:pt>
                <c:pt idx="1">
                  <c:v>PSP</c:v>
                </c:pt>
                <c:pt idx="2">
                  <c:v>Wii</c:v>
                </c:pt>
                <c:pt idx="3">
                  <c:v>PlayStation 3</c:v>
                </c:pt>
              </c:strCache>
            </c:strRef>
          </c:cat>
          <c:val>
            <c:numRef>
              <c:f>'Graphiques HW'!$K$3:$N$3</c:f>
              <c:numCache>
                <c:formatCode>#,##0</c:formatCode>
                <c:ptCount val="4"/>
                <c:pt idx="0">
                  <c:v>363937</c:v>
                </c:pt>
                <c:pt idx="1">
                  <c:v>314393</c:v>
                </c:pt>
                <c:pt idx="2">
                  <c:v>292327</c:v>
                </c:pt>
                <c:pt idx="3">
                  <c:v>103090</c:v>
                </c:pt>
              </c:numCache>
            </c:numRef>
          </c:val>
        </c:ser>
        <c:ser>
          <c:idx val="1"/>
          <c:order val="1"/>
          <c:tx>
            <c:strRef>
              <c:f>'Graphiques HW'!$J$4</c:f>
              <c:strCache>
                <c:ptCount val="1"/>
                <c:pt idx="0">
                  <c:v>2009</c:v>
                </c:pt>
              </c:strCache>
            </c:strRef>
          </c:tx>
          <c:cat>
            <c:strRef>
              <c:f>'Graphiques HW'!$K$2:$N$2</c:f>
              <c:strCache>
                <c:ptCount val="4"/>
                <c:pt idx="0">
                  <c:v>Nintendo DS</c:v>
                </c:pt>
                <c:pt idx="1">
                  <c:v>PSP</c:v>
                </c:pt>
                <c:pt idx="2">
                  <c:v>Wii</c:v>
                </c:pt>
                <c:pt idx="3">
                  <c:v>PlayStation 3</c:v>
                </c:pt>
              </c:strCache>
            </c:strRef>
          </c:cat>
          <c:val>
            <c:numRef>
              <c:f>'Graphiques HW'!$K$4:$N$4</c:f>
              <c:numCache>
                <c:formatCode>#,##0</c:formatCode>
                <c:ptCount val="4"/>
                <c:pt idx="0">
                  <c:v>332308</c:v>
                </c:pt>
                <c:pt idx="1">
                  <c:v>217583</c:v>
                </c:pt>
                <c:pt idx="2">
                  <c:v>161208</c:v>
                </c:pt>
                <c:pt idx="3">
                  <c:v>88798</c:v>
                </c:pt>
              </c:numCache>
            </c:numRef>
          </c:val>
        </c:ser>
        <c:ser>
          <c:idx val="2"/>
          <c:order val="2"/>
          <c:tx>
            <c:strRef>
              <c:f>'Graphiques HW'!$J$5</c:f>
              <c:strCache>
                <c:ptCount val="1"/>
                <c:pt idx="0">
                  <c:v>2010</c:v>
                </c:pt>
              </c:strCache>
            </c:strRef>
          </c:tx>
          <c:cat>
            <c:strRef>
              <c:f>'Graphiques HW'!$K$2:$N$2</c:f>
              <c:strCache>
                <c:ptCount val="4"/>
                <c:pt idx="0">
                  <c:v>Nintendo DS</c:v>
                </c:pt>
                <c:pt idx="1">
                  <c:v>PSP</c:v>
                </c:pt>
                <c:pt idx="2">
                  <c:v>Wii</c:v>
                </c:pt>
                <c:pt idx="3">
                  <c:v>PlayStation 3</c:v>
                </c:pt>
              </c:strCache>
            </c:strRef>
          </c:cat>
          <c:val>
            <c:numRef>
              <c:f>'Graphiques HW'!$K$5:$N$5</c:f>
              <c:numCache>
                <c:formatCode>#,##0</c:formatCode>
                <c:ptCount val="4"/>
                <c:pt idx="0">
                  <c:v>285958</c:v>
                </c:pt>
                <c:pt idx="1">
                  <c:v>285337</c:v>
                </c:pt>
                <c:pt idx="2">
                  <c:v>240627</c:v>
                </c:pt>
                <c:pt idx="3">
                  <c:v>175959</c:v>
                </c:pt>
              </c:numCache>
            </c:numRef>
          </c:val>
        </c:ser>
        <c:axId val="98790784"/>
        <c:axId val="98800768"/>
      </c:barChart>
      <c:catAx>
        <c:axId val="98790784"/>
        <c:scaling>
          <c:orientation val="minMax"/>
        </c:scaling>
        <c:axPos val="b"/>
        <c:tickLblPos val="nextTo"/>
        <c:crossAx val="98800768"/>
        <c:crosses val="autoZero"/>
        <c:auto val="1"/>
        <c:lblAlgn val="ctr"/>
        <c:lblOffset val="100"/>
      </c:catAx>
      <c:valAx>
        <c:axId val="98800768"/>
        <c:scaling>
          <c:orientation val="minMax"/>
        </c:scaling>
        <c:axPos val="l"/>
        <c:majorGridlines/>
        <c:numFmt formatCode="#,##0" sourceLinked="1"/>
        <c:tickLblPos val="nextTo"/>
        <c:crossAx val="98790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475131233595865"/>
          <c:y val="0.19869021580635754"/>
          <c:w val="0.15406802274715894"/>
          <c:h val="0.28355898221056647"/>
        </c:manualLayout>
      </c:layout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  <a:ln>
          <a:solidFill>
            <a:srgbClr val="4F81BD"/>
          </a:solidFill>
        </a:ln>
      </c:sp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23CA6-98A7-4820-BDC6-6FF6CFBC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21</cp:revision>
  <dcterms:created xsi:type="dcterms:W3CDTF">2010-01-15T04:01:00Z</dcterms:created>
  <dcterms:modified xsi:type="dcterms:W3CDTF">2010-02-20T13:38:00Z</dcterms:modified>
</cp:coreProperties>
</file>